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ms-office.chartcolorstyle+xml" PartName="/word/charts/colors1.xml"/>
  <Override ContentType="application/vnd.ms-office.chartcolorstyle+xml" PartName="/word/charts/colors2.xml"/>
  <Override ContentType="application/vnd.ms-office.chartstyle+xml" PartName="/word/charts/style1.xml"/>
  <Override ContentType="application/vnd.ms-office.chartstyle+xml" PartName="/word/charts/style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themeOverride+xml" PartName="/word/theme/themeOverrid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06C9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  <w:r w:rsidRPr="00BC06F0">
        <w:rPr>
          <w:rFonts w:ascii="Meiryo UI" w:eastAsia="Meiryo UI" w:hAnsi="Meiryo UI" w:cs="Times New Roman"/>
          <w:noProof/>
          <w:color w:val="FFFFFF" w:themeColor="background1"/>
          <w:kern w:val="0"/>
          <w:sz w:val="18"/>
          <w:szCs w:val="22"/>
          <w:lang w:val="en-GB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F1F62" wp14:editId="5643BDE7">
                <wp:simplePos x="0" y="0"/>
                <wp:positionH relativeFrom="column">
                  <wp:posOffset>-2457450</wp:posOffset>
                </wp:positionH>
                <wp:positionV relativeFrom="paragraph">
                  <wp:posOffset>-635</wp:posOffset>
                </wp:positionV>
                <wp:extent cx="7698183" cy="1276350"/>
                <wp:effectExtent l="0" t="0" r="0" b="0"/>
                <wp:wrapNone/>
                <wp:docPr id="1397125588" name="長方形:角丸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183" cy="1276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BDA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58185" w14:textId="77777777" w:rsidR="00BC06F0" w:rsidRPr="00BC06F0" w:rsidRDefault="00BC06F0" w:rsidP="00BC06F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</w:pPr>
                            <w:r w:rsidRPr="00BC06F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国立病院機構　熊本医療センター　腎臓内科</w:t>
                            </w:r>
                          </w:p>
                          <w:p w14:paraId="4FD69DF6" w14:textId="78F2933A" w:rsidR="00BC06F0" w:rsidRPr="00BC06F0" w:rsidRDefault="00C64690" w:rsidP="00BC06F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</w:rPr>
                              <w:t xml:space="preserve">　　　　　　　　　</w:t>
                            </w:r>
                            <w:r w:rsidR="000B796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</w:rPr>
                              <w:t xml:space="preserve">      </w:t>
                            </w:r>
                            <w:r w:rsidR="00BC06F0" w:rsidRPr="00BC06F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</w:rPr>
                              <w:t>eGFR</w:t>
                            </w:r>
                            <w:r w:rsidR="00BC06F0" w:rsidRPr="00BC06F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スロープ</w:t>
                            </w:r>
                            <w:r w:rsidR="00BC06F0" w:rsidRPr="00BC06F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</w:rPr>
                              <w:t>(Long Term eGFR Plot)</w:t>
                            </w:r>
                            <w:r w:rsidR="00BC06F0" w:rsidRPr="00BC06F0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</w:rPr>
                              <w:t>相談窓口について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</w:rPr>
                              <w:t xml:space="preserve">　　</w:t>
                            </w:r>
                            <w:r w:rsidRPr="00C6469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ご説明とご承諾書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F1F62" id="長方形:角丸 46" o:spid="_x0000_s1026" style="position:absolute;margin-left:-193.5pt;margin-top:-.05pt;width:606.15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" fillcolor="#75bda7" stroked="f" strokeweight="1pt">
                <v:stroke joinstyle="miter"/>
                <v:textbox>
                  <w:txbxContent>
                    <w:p w14:paraId="2ED58185" w14:textId="77777777" w:rsidR="00BC06F0" w:rsidRPr="00BC06F0" w:rsidRDefault="00BC06F0" w:rsidP="00BC06F0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</w:pPr>
                      <w:r w:rsidRPr="00BC06F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国立病院機構　熊本医療センター　腎臓内科</w:t>
                      </w:r>
                    </w:p>
                    <w:p w14:paraId="4FD69DF6" w14:textId="78F2933A" w:rsidR="00BC06F0" w:rsidRPr="00BC06F0" w:rsidRDefault="00C64690" w:rsidP="00BC06F0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</w:rPr>
                        <w:t xml:space="preserve">　　　　　　　　　</w:t>
                      </w:r>
                      <w:r w:rsidR="000B7963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</w:rPr>
                        <w:t xml:space="preserve">      </w:t>
                      </w:r>
                      <w:r w:rsidR="00BC06F0" w:rsidRPr="00BC06F0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</w:rPr>
                        <w:t>eGFR</w:t>
                      </w:r>
                      <w:r w:rsidR="00BC06F0" w:rsidRPr="00BC06F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スロープ</w:t>
                      </w:r>
                      <w:r w:rsidR="00BC06F0" w:rsidRPr="00BC06F0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</w:rPr>
                        <w:t>(Long Term eGFR Plot)</w:t>
                      </w:r>
                      <w:r w:rsidR="00BC06F0" w:rsidRPr="00BC06F0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</w:rPr>
                        <w:t>相談窓口について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</w:rPr>
                        <w:t xml:space="preserve">　　</w:t>
                      </w:r>
                      <w:r w:rsidRPr="00C64690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ご説明とご承諾書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B62BF3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</w:p>
    <w:p w14:paraId="45C10ECD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</w:p>
    <w:p w14:paraId="1A619C53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</w:p>
    <w:p w14:paraId="2DB6EB6E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</w:p>
    <w:p w14:paraId="5D72952E" w14:textId="77777777" w:rsidR="00BC06F0" w:rsidRDefault="00BC06F0">
      <w:pPr>
        <w:rPr>
          <w:rFonts w:ascii="Meiryo UI" w:eastAsia="Meiryo UI" w:hAnsi="Meiryo UI"/>
          <w:color w:val="FFFFFF" w:themeColor="background1"/>
        </w:rPr>
      </w:pPr>
    </w:p>
    <w:p w14:paraId="0FD1E4B9" w14:textId="0E7BE1AC" w:rsidR="00865A54" w:rsidRDefault="00FC62F2" w:rsidP="00BC06F0">
      <w:pPr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慢性腎臓病（CKD）はたくさんの治療薬が開発され、治療ができる時代になっています。透析などの深刻な腎機能障害をさけるため</w:t>
      </w:r>
      <w:r w:rsidR="00BC06F0">
        <w:rPr>
          <w:rFonts w:ascii="Meiryo UI" w:eastAsia="Meiryo UI" w:hAnsi="Meiryo UI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</w:rPr>
        <w:t>腎機能</w:t>
      </w:r>
      <w:r w:rsidR="00C360FF">
        <w:rPr>
          <w:rFonts w:ascii="Meiryo UI" w:eastAsia="Meiryo UI" w:hAnsi="Meiryo UI" w:hint="eastAsia"/>
          <w:sz w:val="22"/>
          <w:szCs w:val="22"/>
        </w:rPr>
        <w:t>(eGFR)</w:t>
      </w:r>
      <w:r>
        <w:rPr>
          <w:rFonts w:ascii="Meiryo UI" w:eastAsia="Meiryo UI" w:hAnsi="Meiryo UI" w:hint="eastAsia"/>
          <w:sz w:val="22"/>
          <w:szCs w:val="22"/>
        </w:rPr>
        <w:t>がなるべく保たれている段階から、</w:t>
      </w:r>
      <w:r w:rsidR="00C64690">
        <w:rPr>
          <w:rFonts w:ascii="Meiryo UI" w:eastAsia="Meiryo UI" w:hAnsi="Meiryo UI" w:hint="eastAsia"/>
          <w:sz w:val="22"/>
          <w:szCs w:val="22"/>
        </w:rPr>
        <w:t>腎機能の</w:t>
      </w:r>
      <w:r>
        <w:rPr>
          <w:rFonts w:ascii="Meiryo UI" w:eastAsia="Meiryo UI" w:hAnsi="Meiryo UI" w:hint="eastAsia"/>
          <w:sz w:val="22"/>
          <w:szCs w:val="22"/>
        </w:rPr>
        <w:t>低下スピード</w:t>
      </w:r>
      <w:r w:rsidR="00C64690">
        <w:rPr>
          <w:rFonts w:ascii="Meiryo UI" w:eastAsia="Meiryo UI" w:hAnsi="Meiryo UI" w:hint="eastAsia"/>
          <w:sz w:val="22"/>
          <w:szCs w:val="22"/>
        </w:rPr>
        <w:t>(</w:t>
      </w:r>
      <w:r w:rsidR="00C360FF">
        <w:rPr>
          <w:rFonts w:ascii="Meiryo UI" w:eastAsia="Meiryo UI" w:hAnsi="Meiryo UI" w:hint="eastAsia"/>
          <w:sz w:val="22"/>
          <w:szCs w:val="22"/>
        </w:rPr>
        <w:t>eGFRスロープ</w:t>
      </w:r>
      <w:r w:rsidR="00C64690">
        <w:rPr>
          <w:rFonts w:ascii="Meiryo UI" w:eastAsia="Meiryo UI" w:hAnsi="Meiryo UI" w:hint="eastAsia"/>
          <w:sz w:val="22"/>
          <w:szCs w:val="22"/>
        </w:rPr>
        <w:t>)</w:t>
      </w:r>
      <w:r>
        <w:rPr>
          <w:rFonts w:ascii="Meiryo UI" w:eastAsia="Meiryo UI" w:hAnsi="Meiryo UI" w:hint="eastAsia"/>
          <w:sz w:val="22"/>
          <w:szCs w:val="22"/>
        </w:rPr>
        <w:t>を考慮して対策することが必要です。</w:t>
      </w:r>
      <w:r w:rsidR="00C360FF">
        <w:rPr>
          <w:rFonts w:ascii="Meiryo UI" w:eastAsia="Meiryo UI" w:hAnsi="Meiryo UI" w:hint="eastAsia"/>
          <w:sz w:val="22"/>
          <w:szCs w:val="22"/>
        </w:rPr>
        <w:t>そのために</w:t>
      </w:r>
      <w:r>
        <w:rPr>
          <w:rFonts w:ascii="Meiryo UI" w:eastAsia="Meiryo UI" w:hAnsi="Meiryo UI" w:hint="eastAsia"/>
          <w:sz w:val="22"/>
          <w:szCs w:val="22"/>
        </w:rPr>
        <w:t>定期的な採血による</w:t>
      </w:r>
      <w:r w:rsidR="00BC06F0">
        <w:rPr>
          <w:rFonts w:ascii="Meiryo UI" w:eastAsia="Meiryo UI" w:hAnsi="Meiryo UI" w:hint="eastAsia"/>
          <w:sz w:val="22"/>
          <w:szCs w:val="22"/>
        </w:rPr>
        <w:t>腎機能の評価(eGFR)が必要です。現状</w:t>
      </w:r>
      <w:r w:rsidR="0046712D">
        <w:rPr>
          <w:rFonts w:ascii="Meiryo UI" w:eastAsia="Meiryo UI" w:hAnsi="Meiryo UI" w:hint="eastAsia"/>
          <w:sz w:val="22"/>
          <w:szCs w:val="22"/>
        </w:rPr>
        <w:t>評価</w:t>
      </w:r>
      <w:r w:rsidR="00C64690">
        <w:rPr>
          <w:rFonts w:ascii="Meiryo UI" w:eastAsia="Meiryo UI" w:hAnsi="Meiryo UI" w:hint="eastAsia"/>
          <w:sz w:val="22"/>
          <w:szCs w:val="22"/>
        </w:rPr>
        <w:t>(eGFR)</w:t>
      </w:r>
      <w:r w:rsidR="0046712D">
        <w:rPr>
          <w:rFonts w:ascii="Meiryo UI" w:eastAsia="Meiryo UI" w:hAnsi="Meiryo UI" w:hint="eastAsia"/>
          <w:sz w:val="22"/>
          <w:szCs w:val="22"/>
        </w:rPr>
        <w:t>と、</w:t>
      </w:r>
      <w:r w:rsidR="00BC06F0">
        <w:rPr>
          <w:rFonts w:ascii="Meiryo UI" w:eastAsia="Meiryo UI" w:hAnsi="Meiryo UI" w:hint="eastAsia"/>
          <w:sz w:val="22"/>
          <w:szCs w:val="22"/>
        </w:rPr>
        <w:t>経時的評価</w:t>
      </w:r>
      <w:r w:rsidR="00C64690">
        <w:rPr>
          <w:rFonts w:ascii="Meiryo UI" w:eastAsia="Meiryo UI" w:hAnsi="Meiryo UI" w:hint="eastAsia"/>
          <w:sz w:val="22"/>
          <w:szCs w:val="22"/>
        </w:rPr>
        <w:t>(eGFRスロープ)</w:t>
      </w:r>
      <w:r w:rsidR="0046712D">
        <w:rPr>
          <w:rFonts w:ascii="Meiryo UI" w:eastAsia="Meiryo UI" w:hAnsi="Meiryo UI" w:hint="eastAsia"/>
          <w:sz w:val="22"/>
          <w:szCs w:val="22"/>
        </w:rPr>
        <w:t>をあわせることで、今後の危険性や治療強化の必要性が把握できます。</w:t>
      </w:r>
      <w:r w:rsidR="00C64690">
        <w:rPr>
          <w:rFonts w:ascii="Meiryo UI" w:eastAsia="Meiryo UI" w:hAnsi="Meiryo UI" w:hint="eastAsia"/>
          <w:sz w:val="22"/>
          <w:szCs w:val="22"/>
        </w:rPr>
        <w:t>(図2)</w:t>
      </w:r>
    </w:p>
    <w:p w14:paraId="02404CFA" w14:textId="77777777" w:rsidR="0046712D" w:rsidRDefault="0046712D" w:rsidP="00BC06F0">
      <w:pPr>
        <w:ind w:firstLineChars="100" w:firstLine="210"/>
        <w:rPr>
          <w:rFonts w:ascii="Meiryo UI" w:eastAsia="Meiryo UI" w:hAnsi="Meiryo UI"/>
          <w:sz w:val="22"/>
          <w:szCs w:val="22"/>
        </w:rPr>
      </w:pPr>
      <w:r>
        <w:rPr>
          <w:noProof/>
        </w:rPr>
        <w:drawing>
          <wp:inline distT="0" distB="0" distL="0" distR="0" wp14:anchorId="7FD935CF" wp14:editId="4AF23FCF">
            <wp:extent cx="4905375" cy="1819275"/>
            <wp:effectExtent l="0" t="0" r="9525" b="9525"/>
            <wp:docPr id="18276508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57F8354-3000-40A7-63D2-6CC2841FC8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6712D">
        <w:rPr>
          <w:rFonts w:ascii="Meiryo UI" w:eastAsia="Meiryo UI" w:hAnsi="Meiryo UI"/>
          <w:noProof/>
          <w:sz w:val="22"/>
          <w:szCs w:val="22"/>
        </w:rPr>
        <w:drawing>
          <wp:inline distT="0" distB="0" distL="0" distR="0" wp14:anchorId="4A86BA8C" wp14:editId="2DAF583D">
            <wp:extent cx="5162550" cy="2705100"/>
            <wp:effectExtent l="0" t="0" r="0" b="0"/>
            <wp:docPr id="35915516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4D91AAB-9530-B12E-9269-0A93D3C978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D5B609" w14:textId="6BE87880" w:rsidR="0046712D" w:rsidRDefault="003363F1" w:rsidP="00BC06F0">
      <w:pPr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lastRenderedPageBreak/>
        <w:t>図１のように短期間でのeGFRの評価では、変動が大きいために経時的なeGFRの低下を把握しづらいのですが、図2のように得られるすべてのeGFRの長期推移を一括表示したLTEP (Long Term eGFR Plot)を利用することで、変動が大きくても長期的に推移を俯瞰的に観察すること</w:t>
      </w:r>
      <w:r w:rsidR="00C360FF">
        <w:rPr>
          <w:rFonts w:ascii="Meiryo UI" w:eastAsia="Meiryo UI" w:hAnsi="Meiryo UI" w:hint="eastAsia"/>
          <w:sz w:val="22"/>
          <w:szCs w:val="22"/>
        </w:rPr>
        <w:t>ができ</w:t>
      </w:r>
      <w:r>
        <w:rPr>
          <w:rFonts w:ascii="Meiryo UI" w:eastAsia="Meiryo UI" w:hAnsi="Meiryo UI" w:hint="eastAsia"/>
          <w:sz w:val="22"/>
          <w:szCs w:val="22"/>
        </w:rPr>
        <w:t>、</w:t>
      </w:r>
      <w:r w:rsidR="00F23914">
        <w:rPr>
          <w:rFonts w:ascii="Meiryo UI" w:eastAsia="Meiryo UI" w:hAnsi="Meiryo UI" w:hint="eastAsia"/>
          <w:sz w:val="22"/>
          <w:szCs w:val="22"/>
        </w:rPr>
        <w:t>経時的な</w:t>
      </w:r>
      <w:r w:rsidR="00C64690">
        <w:rPr>
          <w:rFonts w:ascii="Meiryo UI" w:eastAsia="Meiryo UI" w:hAnsi="Meiryo UI" w:hint="eastAsia"/>
          <w:sz w:val="22"/>
          <w:szCs w:val="22"/>
        </w:rPr>
        <w:t>腎機能</w:t>
      </w:r>
      <w:r w:rsidR="00F23914">
        <w:rPr>
          <w:rFonts w:ascii="Meiryo UI" w:eastAsia="Meiryo UI" w:hAnsi="Meiryo UI" w:hint="eastAsia"/>
          <w:sz w:val="22"/>
          <w:szCs w:val="22"/>
        </w:rPr>
        <w:t>低下</w:t>
      </w:r>
      <w:r w:rsidR="00C64690">
        <w:rPr>
          <w:rFonts w:ascii="Meiryo UI" w:eastAsia="Meiryo UI" w:hAnsi="Meiryo UI" w:hint="eastAsia"/>
          <w:sz w:val="22"/>
          <w:szCs w:val="22"/>
        </w:rPr>
        <w:t>(</w:t>
      </w:r>
      <w:r w:rsidR="00C360FF">
        <w:rPr>
          <w:rFonts w:ascii="Meiryo UI" w:eastAsia="Meiryo UI" w:hAnsi="Meiryo UI" w:hint="eastAsia"/>
          <w:sz w:val="22"/>
          <w:szCs w:val="22"/>
        </w:rPr>
        <w:t>eGFRスロープ</w:t>
      </w:r>
      <w:r w:rsidR="00C64690">
        <w:rPr>
          <w:rFonts w:ascii="Meiryo UI" w:eastAsia="Meiryo UI" w:hAnsi="Meiryo UI" w:hint="eastAsia"/>
          <w:sz w:val="22"/>
          <w:szCs w:val="22"/>
        </w:rPr>
        <w:t>)</w:t>
      </w:r>
      <w:r w:rsidR="00F23914">
        <w:rPr>
          <w:rFonts w:ascii="Meiryo UI" w:eastAsia="Meiryo UI" w:hAnsi="Meiryo UI" w:hint="eastAsia"/>
          <w:sz w:val="22"/>
          <w:szCs w:val="22"/>
        </w:rPr>
        <w:t>を確実に拾い上げることができます。</w:t>
      </w:r>
    </w:p>
    <w:p w14:paraId="5CB55F59" w14:textId="6A26E16E" w:rsidR="00C360FF" w:rsidRDefault="00F23914" w:rsidP="00BC06F0">
      <w:pPr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熊本医療センター腎臓内科はかかりつけ</w:t>
      </w:r>
      <w:r w:rsidR="00C64690">
        <w:rPr>
          <w:rFonts w:ascii="Meiryo UI" w:eastAsia="Meiryo UI" w:hAnsi="Meiryo UI" w:hint="eastAsia"/>
          <w:sz w:val="22"/>
          <w:szCs w:val="22"/>
        </w:rPr>
        <w:t>医</w:t>
      </w:r>
      <w:r>
        <w:rPr>
          <w:rFonts w:ascii="Meiryo UI" w:eastAsia="Meiryo UI" w:hAnsi="Meiryo UI" w:hint="eastAsia"/>
          <w:sz w:val="22"/>
          <w:szCs w:val="22"/>
        </w:rPr>
        <w:t>の先生と一緒にこのスロープ評価をおこなうことで、患者さんの治療強化</w:t>
      </w:r>
      <w:r w:rsidR="00C360FF">
        <w:rPr>
          <w:rFonts w:ascii="Meiryo UI" w:eastAsia="Meiryo UI" w:hAnsi="Meiryo UI" w:hint="eastAsia"/>
          <w:sz w:val="22"/>
          <w:szCs w:val="22"/>
        </w:rPr>
        <w:t>の</w:t>
      </w:r>
      <w:r>
        <w:rPr>
          <w:rFonts w:ascii="Meiryo UI" w:eastAsia="Meiryo UI" w:hAnsi="Meiryo UI" w:hint="eastAsia"/>
          <w:sz w:val="22"/>
          <w:szCs w:val="22"/>
        </w:rPr>
        <w:t>必要性を</w:t>
      </w:r>
      <w:r w:rsidR="00C64690">
        <w:rPr>
          <w:rFonts w:ascii="Meiryo UI" w:eastAsia="Meiryo UI" w:hAnsi="Meiryo UI" w:hint="eastAsia"/>
          <w:sz w:val="22"/>
          <w:szCs w:val="22"/>
        </w:rPr>
        <w:t>ひろいあげ</w:t>
      </w:r>
      <w:r>
        <w:rPr>
          <w:rFonts w:ascii="Meiryo UI" w:eastAsia="Meiryo UI" w:hAnsi="Meiryo UI" w:hint="eastAsia"/>
          <w:sz w:val="22"/>
          <w:szCs w:val="22"/>
        </w:rPr>
        <w:t>、より良い将来につながるようにお手伝いしていくために、eGFRスロープ(LTEP)相談窓口を設けました。かかりつけの先生</w:t>
      </w:r>
      <w:r w:rsidR="00C64690">
        <w:rPr>
          <w:rFonts w:ascii="Meiryo UI" w:eastAsia="Meiryo UI" w:hAnsi="Meiryo UI" w:hint="eastAsia"/>
          <w:sz w:val="22"/>
          <w:szCs w:val="22"/>
        </w:rPr>
        <w:t>から</w:t>
      </w:r>
      <w:r>
        <w:rPr>
          <w:rFonts w:ascii="Meiryo UI" w:eastAsia="Meiryo UI" w:hAnsi="Meiryo UI" w:hint="eastAsia"/>
          <w:sz w:val="22"/>
          <w:szCs w:val="22"/>
        </w:rPr>
        <w:t>、患者さんのデータを当院腎臓内科に送付いただき、解析してかかりつけの先生にご回答するものです。</w:t>
      </w:r>
    </w:p>
    <w:p w14:paraId="283E341C" w14:textId="32445F29" w:rsidR="00C360FF" w:rsidRPr="00C64690" w:rsidRDefault="00F23914" w:rsidP="00BC06F0">
      <w:pPr>
        <w:ind w:firstLineChars="100" w:firstLine="220"/>
        <w:rPr>
          <w:rFonts w:ascii="Meiryo UI" w:eastAsia="Meiryo UI" w:hAnsi="Meiryo UI"/>
          <w:sz w:val="22"/>
          <w:szCs w:val="22"/>
        </w:rPr>
      </w:pPr>
      <w:r w:rsidRPr="00C64690">
        <w:rPr>
          <w:rFonts w:ascii="Meiryo UI" w:eastAsia="Meiryo UI" w:hAnsi="Meiryo UI" w:hint="eastAsia"/>
          <w:sz w:val="22"/>
          <w:szCs w:val="22"/>
        </w:rPr>
        <w:t>その際には、</w:t>
      </w:r>
      <w:r w:rsidR="00C360FF" w:rsidRPr="00C64690">
        <w:rPr>
          <w:rFonts w:ascii="Meiryo UI" w:eastAsia="Meiryo UI" w:hAnsi="Meiryo UI" w:hint="eastAsia"/>
          <w:sz w:val="22"/>
          <w:szCs w:val="22"/>
        </w:rPr>
        <w:t>個人情報、</w:t>
      </w:r>
      <w:r w:rsidRPr="00C64690">
        <w:rPr>
          <w:rFonts w:ascii="Meiryo UI" w:eastAsia="Meiryo UI" w:hAnsi="Meiryo UI" w:hint="eastAsia"/>
          <w:sz w:val="22"/>
          <w:szCs w:val="22"/>
        </w:rPr>
        <w:t>データを取り扱うため、当院にIDを作成いたします。</w:t>
      </w:r>
      <w:r w:rsidR="00C360FF" w:rsidRPr="00C64690">
        <w:rPr>
          <w:rFonts w:ascii="Meiryo UI" w:eastAsia="Meiryo UI" w:hAnsi="Meiryo UI" w:hint="eastAsia"/>
          <w:sz w:val="22"/>
          <w:szCs w:val="22"/>
        </w:rPr>
        <w:t>（すでにお持ちの際はお知らせください</w:t>
      </w:r>
      <w:r w:rsidR="003908A5">
        <w:rPr>
          <w:rFonts w:ascii="Meiryo UI" w:eastAsia="Meiryo UI" w:hAnsi="Meiryo UI" w:hint="eastAsia"/>
          <w:sz w:val="22"/>
          <w:szCs w:val="22"/>
        </w:rPr>
        <w:t>。</w:t>
      </w:r>
      <w:r w:rsidR="003908A5">
        <w:rPr>
          <w:rFonts w:ascii="Meiryo UI" w:eastAsia="Meiryo UI" w:hAnsi="Meiryo UI"/>
          <w:sz w:val="22"/>
          <w:szCs w:val="22"/>
        </w:rPr>
        <w:t>）</w:t>
      </w:r>
      <w:r w:rsidR="00C360FF" w:rsidRPr="00C64690">
        <w:rPr>
          <w:rFonts w:ascii="Meiryo UI" w:eastAsia="Meiryo UI" w:hAnsi="Meiryo UI" w:hint="eastAsia"/>
          <w:sz w:val="22"/>
          <w:szCs w:val="22"/>
        </w:rPr>
        <w:t>解析結果はあくまで現時点での</w:t>
      </w:r>
      <w:r w:rsidR="003908A5">
        <w:rPr>
          <w:rFonts w:ascii="Meiryo UI" w:eastAsia="Meiryo UI" w:hAnsi="Meiryo UI" w:hint="eastAsia"/>
          <w:sz w:val="22"/>
          <w:szCs w:val="22"/>
        </w:rPr>
        <w:t>予測</w:t>
      </w:r>
      <w:r w:rsidR="00C360FF" w:rsidRPr="00C64690">
        <w:rPr>
          <w:rFonts w:ascii="Meiryo UI" w:eastAsia="Meiryo UI" w:hAnsi="Meiryo UI" w:hint="eastAsia"/>
          <w:sz w:val="22"/>
          <w:szCs w:val="22"/>
        </w:rPr>
        <w:t>ですので</w:t>
      </w:r>
      <w:r w:rsidR="00C64690">
        <w:rPr>
          <w:rFonts w:ascii="Meiryo UI" w:eastAsia="Meiryo UI" w:hAnsi="Meiryo UI" w:hint="eastAsia"/>
          <w:sz w:val="22"/>
          <w:szCs w:val="22"/>
        </w:rPr>
        <w:t>、</w:t>
      </w:r>
      <w:r w:rsidR="00C360FF" w:rsidRPr="00C64690">
        <w:rPr>
          <w:rFonts w:ascii="Meiryo UI" w:eastAsia="Meiryo UI" w:hAnsi="Meiryo UI" w:hint="eastAsia"/>
          <w:sz w:val="22"/>
          <w:szCs w:val="22"/>
        </w:rPr>
        <w:t>今後の経過で大きく変わってきます。すべてを保証するものではありません。</w:t>
      </w:r>
      <w:r w:rsidR="00C64690">
        <w:rPr>
          <w:rFonts w:ascii="Meiryo UI" w:eastAsia="Meiryo UI" w:hAnsi="Meiryo UI" w:hint="eastAsia"/>
          <w:sz w:val="22"/>
          <w:szCs w:val="22"/>
        </w:rPr>
        <w:t>結果によっては</w:t>
      </w:r>
      <w:r w:rsidR="003908A5">
        <w:rPr>
          <w:rFonts w:ascii="Meiryo UI" w:eastAsia="Meiryo UI" w:hAnsi="Meiryo UI" w:hint="eastAsia"/>
          <w:sz w:val="22"/>
          <w:szCs w:val="22"/>
        </w:rPr>
        <w:t>、</w:t>
      </w:r>
      <w:r w:rsidR="00C64690">
        <w:rPr>
          <w:rFonts w:ascii="Meiryo UI" w:eastAsia="Meiryo UI" w:hAnsi="Meiryo UI" w:hint="eastAsia"/>
          <w:sz w:val="22"/>
          <w:szCs w:val="22"/>
        </w:rPr>
        <w:t>かかりつけ医の先生とご相談いただき、受診が必要になることがあります。</w:t>
      </w:r>
    </w:p>
    <w:p w14:paraId="33EC4B13" w14:textId="46546934" w:rsidR="00C64690" w:rsidRDefault="00C64690" w:rsidP="00BC06F0">
      <w:pPr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上記のことを理解いたしました。</w:t>
      </w:r>
    </w:p>
    <w:p w14:paraId="4A480435" w14:textId="77777777" w:rsidR="00C64690" w:rsidRPr="00D60411" w:rsidRDefault="00C64690" w:rsidP="00C64690">
      <w:pPr>
        <w:pStyle w:val="aa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年　　　月　　　日</w:t>
      </w:r>
    </w:p>
    <w:p w14:paraId="47D62F95" w14:textId="77777777" w:rsidR="00C64690" w:rsidRPr="00D60411" w:rsidRDefault="00C64690" w:rsidP="00C64690">
      <w:pPr>
        <w:pStyle w:val="aa"/>
        <w:rPr>
          <w:rFonts w:ascii="ＭＳ 明朝" w:eastAsia="ＭＳ 明朝" w:hAnsi="ＭＳ 明朝"/>
          <w:sz w:val="28"/>
          <w:szCs w:val="28"/>
          <w:u w:val="single"/>
        </w:rPr>
      </w:pPr>
      <w:r w:rsidRPr="00D60411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7EEC4828" w14:textId="77777777" w:rsidR="00C64690" w:rsidRPr="00D60411" w:rsidRDefault="00C64690" w:rsidP="00C64690">
      <w:pPr>
        <w:pStyle w:val="aa"/>
        <w:rPr>
          <w:rFonts w:ascii="ＭＳ 明朝" w:eastAsia="ＭＳ 明朝" w:hAnsi="ＭＳ 明朝"/>
          <w:sz w:val="24"/>
        </w:rPr>
      </w:pPr>
      <w:r w:rsidRPr="00D60411">
        <w:rPr>
          <w:rFonts w:ascii="ＭＳ 明朝" w:eastAsia="ＭＳ 明朝" w:hAnsi="ＭＳ 明朝" w:hint="eastAsia"/>
          <w:sz w:val="24"/>
        </w:rPr>
        <w:t>（本人のサインが難しいとき）</w:t>
      </w:r>
    </w:p>
    <w:p w14:paraId="49992F5A" w14:textId="77777777" w:rsidR="00C64690" w:rsidRPr="00D60411" w:rsidRDefault="00C64690" w:rsidP="00C64690">
      <w:pPr>
        <w:pStyle w:val="aa"/>
        <w:rPr>
          <w:rFonts w:ascii="ＭＳ 明朝" w:eastAsia="ＭＳ 明朝" w:hAnsi="ＭＳ 明朝"/>
          <w:sz w:val="28"/>
          <w:szCs w:val="28"/>
          <w:u w:val="single"/>
        </w:rPr>
      </w:pPr>
      <w:r w:rsidRPr="00D60411">
        <w:rPr>
          <w:rFonts w:ascii="ＭＳ 明朝" w:eastAsia="ＭＳ 明朝" w:hAnsi="ＭＳ 明朝" w:hint="eastAsia"/>
          <w:sz w:val="28"/>
          <w:szCs w:val="28"/>
          <w:u w:val="single"/>
        </w:rPr>
        <w:t>代筆者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2B038DAE" w14:textId="2F49DFFA" w:rsidR="0046712D" w:rsidRDefault="00C64690" w:rsidP="00C6469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患者様に一部お渡しください。かかりつけ医の先生で一部保管ください。</w:t>
      </w:r>
    </w:p>
    <w:p w14:paraId="7C331721" w14:textId="4B3F7B5C" w:rsidR="00C64690" w:rsidRPr="00C64690" w:rsidRDefault="00C64690" w:rsidP="00C6469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熊本医療センター腎臓内科に『相談申込書』と一緒に</w:t>
      </w:r>
      <w:r w:rsidR="00965E44">
        <w:rPr>
          <w:rFonts w:ascii="Meiryo UI" w:eastAsia="Meiryo UI" w:hAnsi="Meiryo UI" w:hint="eastAsia"/>
        </w:rPr>
        <w:t>e-mailもしくは</w:t>
      </w:r>
      <w:r>
        <w:rPr>
          <w:rFonts w:ascii="Meiryo UI" w:eastAsia="Meiryo UI" w:hAnsi="Meiryo UI" w:hint="eastAsia"/>
        </w:rPr>
        <w:t>FAX・郵送ください。</w:t>
      </w:r>
    </w:p>
    <w:sectPr w:rsidR="00C64690" w:rsidRPr="00C64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209B" w14:textId="77777777" w:rsidR="000B7963" w:rsidRDefault="000B7963" w:rsidP="000B7963">
      <w:r>
        <w:separator/>
      </w:r>
    </w:p>
  </w:endnote>
  <w:endnote w:type="continuationSeparator" w:id="0">
    <w:p w14:paraId="57245F53" w14:textId="77777777" w:rsidR="000B7963" w:rsidRDefault="000B7963" w:rsidP="000B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6AEF" w14:textId="77777777" w:rsidR="000B7963" w:rsidRDefault="000B7963" w:rsidP="000B7963">
      <w:r>
        <w:separator/>
      </w:r>
    </w:p>
  </w:footnote>
  <w:footnote w:type="continuationSeparator" w:id="0">
    <w:p w14:paraId="39277C29" w14:textId="77777777" w:rsidR="000B7963" w:rsidRDefault="000B7963" w:rsidP="000B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F0"/>
    <w:rsid w:val="000752B5"/>
    <w:rsid w:val="000B7963"/>
    <w:rsid w:val="00114DB3"/>
    <w:rsid w:val="00235D3D"/>
    <w:rsid w:val="003363F1"/>
    <w:rsid w:val="003908A5"/>
    <w:rsid w:val="0046712D"/>
    <w:rsid w:val="005739E4"/>
    <w:rsid w:val="008564D9"/>
    <w:rsid w:val="00865A54"/>
    <w:rsid w:val="00883129"/>
    <w:rsid w:val="00965E44"/>
    <w:rsid w:val="00B838DD"/>
    <w:rsid w:val="00BC06F0"/>
    <w:rsid w:val="00C360FF"/>
    <w:rsid w:val="00C64690"/>
    <w:rsid w:val="00E3601E"/>
    <w:rsid w:val="00F23914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658CE"/>
  <w15:chartTrackingRefBased/>
  <w15:docId w15:val="{460AF2A3-EE00-484F-9570-0C0637DB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06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06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06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06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06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06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06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06F0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BC06F0"/>
    <w:pPr>
      <w:widowControl w:val="0"/>
    </w:pPr>
  </w:style>
  <w:style w:type="paragraph" w:styleId="ab">
    <w:name w:val="header"/>
    <w:basedOn w:val="a"/>
    <w:link w:val="ac"/>
    <w:uiPriority w:val="99"/>
    <w:unhideWhenUsed/>
    <w:rsid w:val="000B79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7963"/>
  </w:style>
  <w:style w:type="paragraph" w:styleId="ad">
    <w:name w:val="footer"/>
    <w:basedOn w:val="a"/>
    <w:link w:val="ae"/>
    <w:uiPriority w:val="99"/>
    <w:unhideWhenUsed/>
    <w:rsid w:val="000B79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charts/chart1.xml" Type="http://schemas.openxmlformats.org/officeDocument/2006/relationships/chart"/><Relationship Id="rId7" Target="charts/chart2.xml" Type="http://schemas.openxmlformats.org/officeDocument/2006/relationships/chart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charts/_rels/chart1.xml.rels><?xml version="1.0" encoding="UTF-8" standalone="yes"?><Relationships xmlns="http://schemas.openxmlformats.org/package/2006/relationships"><Relationship Id="rId1" Target="style1.xml" Type="http://schemas.microsoft.com/office/2011/relationships/chartStyle"/><Relationship Id="rId2" Target="colors1.xml" Type="http://schemas.microsoft.com/office/2011/relationships/chartColorStyle"/><Relationship Id="rId3" Target="http://invalid.uri" TargetMode="External" Type="http://schemas.openxmlformats.org/officeDocument/2006/relationships/oleObject"/></Relationships>
</file>

<file path=word/charts/_rels/chart2.xml.rels><?xml version="1.0" encoding="UTF-8" standalone="yes"?><Relationships xmlns="http://schemas.openxmlformats.org/package/2006/relationships"><Relationship Id="rId1" Target="style2.xml" Type="http://schemas.microsoft.com/office/2011/relationships/chartStyle"/><Relationship Id="rId2" Target="colors2.xml" Type="http://schemas.microsoft.com/office/2011/relationships/chartColorStyle"/><Relationship Id="rId3" Target="../theme/themeOverride1.xml" Type="http://schemas.openxmlformats.org/officeDocument/2006/relationships/themeOverride"/><Relationship Id="rId4" Target="../embeddings/oleObject1.bin" Type="http://schemas.openxmlformats.org/officeDocument/2006/relationships/oleObject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r>
              <a:rPr lang="ja-JP" altLang="en-US"/>
              <a:t>図１　</a:t>
            </a:r>
            <a:r>
              <a:rPr lang="en-US"/>
              <a:t>eGFR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T.TANA!$A$2</c:f>
              <c:strCache>
                <c:ptCount val="1"/>
                <c:pt idx="0">
                  <c:v>eGFR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T.TANA!$B$1:$S$1</c:f>
              <c:numCache>
                <c:formatCode>m/d/yyyy</c:formatCode>
                <c:ptCount val="18"/>
                <c:pt idx="0">
                  <c:v>44690</c:v>
                </c:pt>
                <c:pt idx="1">
                  <c:v>44704</c:v>
                </c:pt>
                <c:pt idx="2">
                  <c:v>44718</c:v>
                </c:pt>
                <c:pt idx="3">
                  <c:v>44802</c:v>
                </c:pt>
                <c:pt idx="4">
                  <c:v>44900</c:v>
                </c:pt>
                <c:pt idx="5">
                  <c:v>45082</c:v>
                </c:pt>
                <c:pt idx="6">
                  <c:v>45160</c:v>
                </c:pt>
                <c:pt idx="7">
                  <c:v>45264</c:v>
                </c:pt>
                <c:pt idx="8">
                  <c:v>45296</c:v>
                </c:pt>
                <c:pt idx="9">
                  <c:v>45446</c:v>
                </c:pt>
                <c:pt idx="10">
                  <c:v>45461</c:v>
                </c:pt>
                <c:pt idx="11">
                  <c:v>45463</c:v>
                </c:pt>
                <c:pt idx="12">
                  <c:v>45464</c:v>
                </c:pt>
                <c:pt idx="13">
                  <c:v>45467</c:v>
                </c:pt>
                <c:pt idx="14">
                  <c:v>45469</c:v>
                </c:pt>
                <c:pt idx="15">
                  <c:v>45471</c:v>
                </c:pt>
                <c:pt idx="16">
                  <c:v>45481</c:v>
                </c:pt>
                <c:pt idx="17">
                  <c:v>45495</c:v>
                </c:pt>
              </c:numCache>
            </c:numRef>
          </c:xVal>
          <c:yVal>
            <c:numRef>
              <c:f>T.TANA!$B$2:$S$2</c:f>
              <c:numCache>
                <c:formatCode>General</c:formatCode>
                <c:ptCount val="18"/>
                <c:pt idx="0">
                  <c:v>74.2</c:v>
                </c:pt>
                <c:pt idx="1">
                  <c:v>70.3</c:v>
                </c:pt>
                <c:pt idx="2">
                  <c:v>71.599999999999994</c:v>
                </c:pt>
                <c:pt idx="3">
                  <c:v>70.3</c:v>
                </c:pt>
                <c:pt idx="4">
                  <c:v>60.4</c:v>
                </c:pt>
                <c:pt idx="5">
                  <c:v>65.400000000000006</c:v>
                </c:pt>
                <c:pt idx="6">
                  <c:v>65.400000000000006</c:v>
                </c:pt>
                <c:pt idx="7">
                  <c:v>63.1</c:v>
                </c:pt>
                <c:pt idx="8">
                  <c:v>64.099999999999994</c:v>
                </c:pt>
                <c:pt idx="9">
                  <c:v>67.400000000000006</c:v>
                </c:pt>
                <c:pt idx="10">
                  <c:v>72.3</c:v>
                </c:pt>
                <c:pt idx="11">
                  <c:v>58.4</c:v>
                </c:pt>
                <c:pt idx="12">
                  <c:v>65.2</c:v>
                </c:pt>
                <c:pt idx="13">
                  <c:v>68.599999999999994</c:v>
                </c:pt>
                <c:pt idx="14">
                  <c:v>67.400000000000006</c:v>
                </c:pt>
                <c:pt idx="15">
                  <c:v>66.3</c:v>
                </c:pt>
                <c:pt idx="16">
                  <c:v>62.1</c:v>
                </c:pt>
                <c:pt idx="17">
                  <c:v>65.2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211-48A6-9944-C45D6589E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8732288"/>
        <c:axId val="458727248"/>
      </c:scatterChart>
      <c:valAx>
        <c:axId val="45873228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458727248"/>
        <c:crosses val="autoZero"/>
        <c:crossBetween val="midCat"/>
      </c:valAx>
      <c:valAx>
        <c:axId val="458727248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4587322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r>
              <a:rPr lang="ja-JP" altLang="en-US" sz="1400">
                <a:solidFill>
                  <a:schemeClr val="accent2"/>
                </a:solidFill>
              </a:rPr>
              <a:t>図２　</a:t>
            </a:r>
            <a:r>
              <a:rPr lang="en-US" sz="1400">
                <a:solidFill>
                  <a:schemeClr val="accent2"/>
                </a:solidFill>
              </a:rPr>
              <a:t>Long term eGFR plot</a:t>
            </a:r>
            <a:r>
              <a:rPr lang="ja-JP" sz="1400">
                <a:solidFill>
                  <a:schemeClr val="accent2"/>
                </a:solidFill>
              </a:rPr>
              <a:t>　</a:t>
            </a:r>
            <a:r>
              <a:rPr lang="en-US" sz="1400">
                <a:solidFill>
                  <a:schemeClr val="accent2"/>
                </a:solidFill>
              </a:rPr>
              <a:t>[age]</a:t>
            </a:r>
            <a:endParaRPr lang="ja-JP" sz="1400">
              <a:solidFill>
                <a:schemeClr val="accent2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1535692424286589"/>
          <c:y val="0.14278959810874706"/>
          <c:w val="0.82646981665549302"/>
          <c:h val="0.63971631205673762"/>
        </c:manualLayout>
      </c:layout>
      <c:scatterChart>
        <c:scatterStyle val="lineMarker"/>
        <c:varyColors val="0"/>
        <c:ser>
          <c:idx val="0"/>
          <c:order val="0"/>
          <c:tx>
            <c:strRef>
              <c:f>ケレンディア前まで!$D$6</c:f>
              <c:strCache>
                <c:ptCount val="1"/>
                <c:pt idx="0">
                  <c:v>eGFR
(mL/min/1.73m2)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2"/>
              </a:solidFill>
              <a:ln w="9525">
                <a:noFill/>
              </a:ln>
              <a:effectLst/>
            </c:spPr>
          </c:marker>
          <c:trendline>
            <c:spPr>
              <a:ln w="139700" cap="rnd">
                <a:solidFill>
                  <a:schemeClr val="accent1">
                    <a:alpha val="33000"/>
                  </a:schemeClr>
                </a:solidFill>
                <a:prstDash val="solid"/>
                <a:round/>
              </a:ln>
              <a:effectLst/>
            </c:spPr>
            <c:trendlineType val="linear"/>
            <c:forward val="30"/>
            <c:backward val="10"/>
            <c:dispRSqr val="0"/>
            <c:dispEq val="1"/>
            <c:trendlineLbl>
              <c:layout>
                <c:manualLayout>
                  <c:x val="-4.9696964483119048E-2"/>
                  <c:y val="-0.504771724741605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effectLst>
                        <a:outerShdw blurRad="38100" dist="38100" dir="2700000" algn="tl">
                          <a:srgbClr val="000000">
                            <a:alpha val="43137"/>
                          </a:srgbClr>
                        </a:outerShdw>
                      </a:effectLst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</c:trendlineLbl>
          </c:trendline>
          <c:xVal>
            <c:numRef>
              <c:f>ケレンディア前まで!$C$7:$C$300</c:f>
              <c:numCache>
                <c:formatCode>0_);[Red]\(0\)</c:formatCode>
                <c:ptCount val="288"/>
                <c:pt idx="0">
                  <c:v>20.013698630136986</c:v>
                </c:pt>
                <c:pt idx="1">
                  <c:v>73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74</c:v>
                </c:pt>
                <c:pt idx="7">
                  <c:v>74</c:v>
                </c:pt>
                <c:pt idx="8">
                  <c:v>74</c:v>
                </c:pt>
                <c:pt idx="9">
                  <c:v>74</c:v>
                </c:pt>
                <c:pt idx="10">
                  <c:v>74</c:v>
                </c:pt>
                <c:pt idx="11">
                  <c:v>74</c:v>
                </c:pt>
                <c:pt idx="12">
                  <c:v>74</c:v>
                </c:pt>
                <c:pt idx="13">
                  <c:v>75</c:v>
                </c:pt>
                <c:pt idx="14">
                  <c:v>75</c:v>
                </c:pt>
                <c:pt idx="15">
                  <c:v>75</c:v>
                </c:pt>
                <c:pt idx="16">
                  <c:v>76</c:v>
                </c:pt>
                <c:pt idx="17">
                  <c:v>76</c:v>
                </c:pt>
                <c:pt idx="18">
                  <c:v>76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104</c:v>
                </c:pt>
              </c:numCache>
            </c:numRef>
          </c:xVal>
          <c:yVal>
            <c:numRef>
              <c:f>ケレンディア前まで!$D$7:$D$300</c:f>
              <c:numCache>
                <c:formatCode>0.0_);[Red]\(0.0\)</c:formatCode>
                <c:ptCount val="288"/>
                <c:pt idx="0">
                  <c:v>#N/A</c:v>
                </c:pt>
                <c:pt idx="1">
                  <c:v>71.865701296729227</c:v>
                </c:pt>
                <c:pt idx="2">
                  <c:v>77.400793917860881</c:v>
                </c:pt>
                <c:pt idx="3">
                  <c:v>74.535025903564943</c:v>
                </c:pt>
                <c:pt idx="4">
                  <c:v>70.598585412720851</c:v>
                </c:pt>
                <c:pt idx="5">
                  <c:v>80.485143954654916</c:v>
                </c:pt>
                <c:pt idx="6">
                  <c:v>77.099146906364197</c:v>
                </c:pt>
                <c:pt idx="7">
                  <c:v>83.48700152041711</c:v>
                </c:pt>
                <c:pt idx="8">
                  <c:v>75.646082110689264</c:v>
                </c:pt>
                <c:pt idx="9">
                  <c:v>74.244547386774812</c:v>
                </c:pt>
                <c:pt idx="10">
                  <c:v>70.323448024230501</c:v>
                </c:pt>
                <c:pt idx="11">
                  <c:v>71.585625693780287</c:v>
                </c:pt>
                <c:pt idx="12">
                  <c:v>70.323448024230501</c:v>
                </c:pt>
                <c:pt idx="13">
                  <c:v>60.398611147653185</c:v>
                </c:pt>
                <c:pt idx="14">
                  <c:v>65.421804702863341</c:v>
                </c:pt>
                <c:pt idx="15">
                  <c:v>65.421804702863341</c:v>
                </c:pt>
                <c:pt idx="16">
                  <c:v>63.079452737999837</c:v>
                </c:pt>
                <c:pt idx="17">
                  <c:v>64.110155930153937</c:v>
                </c:pt>
                <c:pt idx="18">
                  <c:v>67.404947660016219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A81-4DC0-9203-8A51C555E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7329968"/>
        <c:axId val="377328328"/>
      </c:scatterChart>
      <c:valAx>
        <c:axId val="377329968"/>
        <c:scaling>
          <c:orientation val="minMax"/>
          <c:max val="105"/>
          <c:min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>
                      <a:outerShdw blurRad="38100" dist="38100" dir="2700000" algn="tl">
                        <a:srgbClr val="000000">
                          <a:alpha val="43137"/>
                        </a:srgbClr>
                      </a:outerShdw>
                    </a:effectLst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r>
                  <a:rPr lang="en-US" sz="1100"/>
                  <a:t>[</a:t>
                </a:r>
                <a:r>
                  <a:rPr lang="ja-JP" sz="1100"/>
                  <a:t>歳</a:t>
                </a:r>
                <a:r>
                  <a:rPr lang="en-US" sz="1100"/>
                  <a:t>]</a:t>
                </a:r>
                <a:endParaRPr lang="ja-JP" sz="1100"/>
              </a:p>
            </c:rich>
          </c:tx>
          <c:layout>
            <c:manualLayout>
              <c:xMode val="edge"/>
              <c:yMode val="edge"/>
              <c:x val="0.90257309003993369"/>
              <c:y val="0.854365331993075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effectLst>
                    <a:outerShdw blurRad="38100" dist="38100" dir="2700000" algn="tl">
                      <a:srgbClr val="000000">
                        <a:alpha val="43137"/>
                      </a:srgbClr>
                    </a:outerShdw>
                  </a:effectLst>
                  <a:latin typeface="Meiryo UI" panose="020B0604030504040204" pitchFamily="50" charset="-128"/>
                  <a:ea typeface="Meiryo UI" panose="020B0604030504040204" pitchFamily="50" charset="-128"/>
                  <a:cs typeface="+mn-cs"/>
                </a:defRPr>
              </a:pPr>
              <a:endParaRPr lang="ja-JP"/>
            </a:p>
          </c:txPr>
        </c:title>
        <c:numFmt formatCode="0_);[Red]\(0\)" sourceLinked="1"/>
        <c:majorTickMark val="none"/>
        <c:minorTickMark val="cross"/>
        <c:tickLblPos val="low"/>
        <c:spPr>
          <a:noFill/>
          <a:ln w="9525" cap="flat" cmpd="sng" algn="ctr">
            <a:solidFill>
              <a:schemeClr val="accent2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377328328"/>
        <c:crossesAt val="10"/>
        <c:crossBetween val="midCat"/>
        <c:majorUnit val="10"/>
        <c:minorUnit val="5"/>
      </c:valAx>
      <c:valAx>
        <c:axId val="377328328"/>
        <c:scaling>
          <c:orientation val="minMax"/>
          <c:max val="14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_);[Red]\(0\)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accent5"/>
                </a:solidFill>
                <a:effectLst>
                  <a:outerShdw blurRad="38100" dist="38100" dir="2700000" algn="tl">
                    <a:srgbClr val="000000">
                      <a:alpha val="43137"/>
                    </a:srgbClr>
                  </a:outerShdw>
                </a:effectLst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377329968"/>
        <c:crossesAt val="0"/>
        <c:crossBetween val="midCat"/>
        <c:majorUnit val="20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800" u="none">
          <a:effectLst>
            <a:outerShdw blurRad="38100" dist="38100" dir="2700000" algn="tl">
              <a:srgbClr val="000000">
                <a:alpha val="43137"/>
              </a:srgbClr>
            </a:outerShdw>
          </a:effectLst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ゴシック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